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152AA" w14:textId="79CD7F74" w:rsidR="00986ED2" w:rsidRDefault="00506AE2" w:rsidP="00F97EEF">
      <w:pPr>
        <w:spacing w:after="0"/>
        <w:jc w:val="center"/>
        <w:rPr>
          <w:b/>
          <w:bCs/>
        </w:rPr>
      </w:pPr>
      <w:r w:rsidRPr="00506AE2">
        <w:rPr>
          <w:b/>
          <w:bCs/>
          <w:u w:val="single"/>
        </w:rPr>
        <w:t xml:space="preserve">Recommandation aux </w:t>
      </w:r>
      <w:r w:rsidR="00A63611">
        <w:rPr>
          <w:b/>
          <w:bCs/>
          <w:u w:val="single"/>
        </w:rPr>
        <w:t>adhérents</w:t>
      </w:r>
      <w:r>
        <w:rPr>
          <w:b/>
          <w:bCs/>
        </w:rPr>
        <w:t xml:space="preserve"> </w:t>
      </w:r>
    </w:p>
    <w:p w14:paraId="5B328CA2" w14:textId="77777777" w:rsidR="00506AE2" w:rsidRDefault="00506AE2" w:rsidP="00CB04E7">
      <w:pPr>
        <w:spacing w:after="0"/>
        <w:rPr>
          <w:b/>
          <w:bCs/>
        </w:rPr>
      </w:pPr>
    </w:p>
    <w:p w14:paraId="510853C9" w14:textId="6F5CA98C" w:rsidR="00F97EEF" w:rsidRPr="00F97EEF" w:rsidRDefault="00F97EEF" w:rsidP="00F97EEF">
      <w:pPr>
        <w:spacing w:after="0"/>
        <w:jc w:val="center"/>
        <w:rPr>
          <w:b/>
          <w:bCs/>
        </w:rPr>
      </w:pPr>
      <w:r w:rsidRPr="00F97EEF">
        <w:rPr>
          <w:b/>
          <w:bCs/>
        </w:rPr>
        <w:t>Clause type</w:t>
      </w:r>
      <w:r w:rsidR="00187105">
        <w:rPr>
          <w:b/>
          <w:bCs/>
        </w:rPr>
        <w:t xml:space="preserve"> Site internet </w:t>
      </w:r>
    </w:p>
    <w:p w14:paraId="47833151" w14:textId="3D65CEC0" w:rsidR="00F97EEF" w:rsidRPr="00F97EEF" w:rsidRDefault="00F97EEF" w:rsidP="00F97EEF">
      <w:pPr>
        <w:spacing w:after="0"/>
        <w:jc w:val="center"/>
        <w:rPr>
          <w:b/>
          <w:bCs/>
        </w:rPr>
      </w:pPr>
      <w:r>
        <w:rPr>
          <w:b/>
          <w:bCs/>
        </w:rPr>
        <w:t>Opposition à la F</w:t>
      </w:r>
      <w:r w:rsidRPr="00F97EEF">
        <w:rPr>
          <w:b/>
          <w:bCs/>
        </w:rPr>
        <w:t>ouille de textes et de données</w:t>
      </w:r>
      <w:r>
        <w:rPr>
          <w:b/>
          <w:bCs/>
        </w:rPr>
        <w:t xml:space="preserve"> par Intelligence artificielle</w:t>
      </w:r>
    </w:p>
    <w:p w14:paraId="5616DA48" w14:textId="77777777" w:rsidR="00F97EEF" w:rsidRDefault="00F97EEF" w:rsidP="00F97EEF">
      <w:pPr>
        <w:spacing w:after="0"/>
        <w:jc w:val="both"/>
      </w:pPr>
    </w:p>
    <w:p w14:paraId="7FFE4623" w14:textId="24EA8DEE" w:rsidR="00C16F1C" w:rsidRDefault="00E54C8F" w:rsidP="00510FAE">
      <w:pPr>
        <w:spacing w:after="0"/>
        <w:ind w:firstLine="708"/>
        <w:jc w:val="both"/>
      </w:pPr>
      <w:r w:rsidRPr="00221907">
        <w:t xml:space="preserve">La structure du présent Site ainsi que l’ensemble des œuvres audiovisuelles et contenus </w:t>
      </w:r>
      <w:r w:rsidR="00986ED2">
        <w:t>présents</w:t>
      </w:r>
      <w:r w:rsidRPr="00221907">
        <w:t xml:space="preserve"> sur le Site, ainsi que l’ensemble de leur</w:t>
      </w:r>
      <w:r w:rsidR="00231E8D">
        <w:t>s</w:t>
      </w:r>
      <w:r w:rsidRPr="00221907">
        <w:t xml:space="preserve"> composantes (texte, graphisme, signes, signaux, sons, images, etc.) sont protégés par la législation relative à la propriété intellectuelle et ne peuvent faire l’objet d’aucune utilisation sans l’autorisation préalable et écrite de la société XXX</w:t>
      </w:r>
      <w:r w:rsidR="00C16F1C" w:rsidRPr="00221907">
        <w:t>.</w:t>
      </w:r>
    </w:p>
    <w:p w14:paraId="18C605C8" w14:textId="77777777" w:rsidR="003830FC" w:rsidRDefault="003830FC" w:rsidP="003830FC">
      <w:pPr>
        <w:spacing w:after="0"/>
        <w:jc w:val="both"/>
      </w:pPr>
    </w:p>
    <w:p w14:paraId="30E6E097" w14:textId="5E753A85" w:rsidR="003830FC" w:rsidRPr="0062553B" w:rsidRDefault="0062553B" w:rsidP="003830FC">
      <w:pPr>
        <w:spacing w:after="0"/>
        <w:jc w:val="both"/>
        <w:rPr>
          <w:b/>
          <w:bCs/>
        </w:rPr>
      </w:pPr>
      <w:r>
        <w:rPr>
          <w:b/>
          <w:bCs/>
        </w:rPr>
        <w:t>En tant que de besoin</w:t>
      </w:r>
      <w:r w:rsidRPr="0062553B">
        <w:rPr>
          <w:b/>
          <w:bCs/>
        </w:rPr>
        <w:t>, l</w:t>
      </w:r>
      <w:r w:rsidR="003830FC" w:rsidRPr="0062553B">
        <w:rPr>
          <w:b/>
          <w:bCs/>
        </w:rPr>
        <w:t xml:space="preserve">a société XXX s’oppose </w:t>
      </w:r>
      <w:r w:rsidR="008F4810">
        <w:rPr>
          <w:b/>
          <w:bCs/>
        </w:rPr>
        <w:t>par l</w:t>
      </w:r>
      <w:r w:rsidR="00A63611">
        <w:rPr>
          <w:b/>
          <w:bCs/>
        </w:rPr>
        <w:t>es</w:t>
      </w:r>
      <w:r w:rsidR="008F4810">
        <w:rPr>
          <w:b/>
          <w:bCs/>
        </w:rPr>
        <w:t xml:space="preserve"> présente</w:t>
      </w:r>
      <w:r w:rsidR="00A63611">
        <w:rPr>
          <w:b/>
          <w:bCs/>
        </w:rPr>
        <w:t>s</w:t>
      </w:r>
      <w:r w:rsidR="008F4810">
        <w:rPr>
          <w:b/>
          <w:bCs/>
        </w:rPr>
        <w:t xml:space="preserve"> </w:t>
      </w:r>
      <w:r w:rsidR="003830FC" w:rsidRPr="0062553B">
        <w:rPr>
          <w:b/>
          <w:bCs/>
        </w:rPr>
        <w:t xml:space="preserve">à </w:t>
      </w:r>
      <w:bookmarkStart w:id="0" w:name="_Hlk178600312"/>
      <w:r w:rsidR="003830FC" w:rsidRPr="0062553B">
        <w:rPr>
          <w:b/>
          <w:bCs/>
        </w:rPr>
        <w:t xml:space="preserve">toutes copies ou reproductions numériques de ces œuvres </w:t>
      </w:r>
      <w:bookmarkEnd w:id="0"/>
      <w:r w:rsidR="008F4810">
        <w:rPr>
          <w:b/>
          <w:bCs/>
        </w:rPr>
        <w:t>audiovisuelles</w:t>
      </w:r>
      <w:r w:rsidR="0092525C">
        <w:rPr>
          <w:b/>
          <w:bCs/>
        </w:rPr>
        <w:t xml:space="preserve">, </w:t>
      </w:r>
      <w:r w:rsidR="008F4810">
        <w:rPr>
          <w:b/>
          <w:bCs/>
        </w:rPr>
        <w:t>contenus</w:t>
      </w:r>
      <w:r w:rsidR="00BB2467">
        <w:rPr>
          <w:b/>
          <w:bCs/>
        </w:rPr>
        <w:t xml:space="preserve"> </w:t>
      </w:r>
      <w:r w:rsidR="00BB2467" w:rsidRPr="00221907">
        <w:rPr>
          <w:rFonts w:cs="Times New Roman"/>
          <w:b/>
          <w:bCs/>
        </w:rPr>
        <w:t xml:space="preserve">et/ou de l’une ou l’autre de leurs composantes protégées par le droit d’auteur </w:t>
      </w:r>
      <w:r w:rsidR="008B7CF8" w:rsidRPr="008B7CF8">
        <w:rPr>
          <w:rFonts w:cs="Times New Roman"/>
          <w:b/>
          <w:bCs/>
          <w:i/>
          <w:iCs/>
        </w:rPr>
        <w:t xml:space="preserve">(texte, graphisme, signes, signaux, sons, images, </w:t>
      </w:r>
      <w:proofErr w:type="spellStart"/>
      <w:r w:rsidR="008B7CF8" w:rsidRPr="008B7CF8">
        <w:rPr>
          <w:rFonts w:cs="Times New Roman"/>
          <w:b/>
          <w:bCs/>
          <w:i/>
          <w:iCs/>
        </w:rPr>
        <w:t>etc</w:t>
      </w:r>
      <w:proofErr w:type="spellEnd"/>
      <w:r w:rsidR="008B7CF8" w:rsidRPr="008B7CF8">
        <w:rPr>
          <w:rFonts w:cs="Times New Roman"/>
          <w:b/>
          <w:bCs/>
          <w:i/>
          <w:iCs/>
        </w:rPr>
        <w:t>)</w:t>
      </w:r>
      <w:r w:rsidR="00BB2467" w:rsidRPr="009403FE">
        <w:rPr>
          <w:rFonts w:ascii="Times New Roman" w:hAnsi="Times New Roman" w:cs="Times New Roman"/>
          <w:sz w:val="24"/>
          <w:szCs w:val="24"/>
        </w:rPr>
        <w:t xml:space="preserve"> </w:t>
      </w:r>
      <w:r w:rsidR="008F4810">
        <w:rPr>
          <w:b/>
          <w:bCs/>
        </w:rPr>
        <w:t xml:space="preserve"> </w:t>
      </w:r>
      <w:r w:rsidR="003830FC" w:rsidRPr="0062553B">
        <w:rPr>
          <w:b/>
          <w:bCs/>
        </w:rPr>
        <w:t>en vue de la fouille de textes et de données</w:t>
      </w:r>
      <w:r w:rsidR="00A63611">
        <w:rPr>
          <w:b/>
          <w:bCs/>
        </w:rPr>
        <w:t xml:space="preserve">, notamment </w:t>
      </w:r>
      <w:r w:rsidR="003830FC" w:rsidRPr="0062553B">
        <w:rPr>
          <w:b/>
          <w:bCs/>
        </w:rPr>
        <w:t xml:space="preserve"> </w:t>
      </w:r>
      <w:r w:rsidR="00A63611" w:rsidRPr="00A63611">
        <w:rPr>
          <w:b/>
          <w:bCs/>
        </w:rPr>
        <w:t>par un système d’Intelligence artificielle (IA)</w:t>
      </w:r>
      <w:r w:rsidR="00A63611">
        <w:rPr>
          <w:b/>
          <w:bCs/>
        </w:rPr>
        <w:t xml:space="preserve">, </w:t>
      </w:r>
      <w:r w:rsidR="003830FC" w:rsidRPr="0062553B">
        <w:rPr>
          <w:b/>
          <w:bCs/>
        </w:rPr>
        <w:t>au sens des articles L. 122-5-3</w:t>
      </w:r>
      <w:r>
        <w:rPr>
          <w:b/>
          <w:bCs/>
        </w:rPr>
        <w:t>, III</w:t>
      </w:r>
      <w:r w:rsidRPr="0062553B">
        <w:rPr>
          <w:b/>
          <w:bCs/>
        </w:rPr>
        <w:t xml:space="preserve"> et </w:t>
      </w:r>
      <w:r w:rsidR="003830FC" w:rsidRPr="0062553B">
        <w:rPr>
          <w:b/>
          <w:bCs/>
        </w:rPr>
        <w:t>L. 211-3</w:t>
      </w:r>
      <w:r>
        <w:rPr>
          <w:b/>
          <w:bCs/>
        </w:rPr>
        <w:t>, 8°</w:t>
      </w:r>
      <w:r w:rsidR="003830FC" w:rsidRPr="0062553B">
        <w:rPr>
          <w:b/>
          <w:bCs/>
        </w:rPr>
        <w:t xml:space="preserve"> du Code de la propriété intellectuelle</w:t>
      </w:r>
      <w:r>
        <w:rPr>
          <w:b/>
          <w:bCs/>
        </w:rPr>
        <w:t xml:space="preserve"> (CPI)</w:t>
      </w:r>
      <w:r w:rsidR="008F4810">
        <w:rPr>
          <w:b/>
          <w:bCs/>
        </w:rPr>
        <w:t xml:space="preserve"> portant transposition de la Directive</w:t>
      </w:r>
      <w:r w:rsidR="008F4810" w:rsidRPr="008F4810">
        <w:rPr>
          <w:b/>
          <w:bCs/>
        </w:rPr>
        <w:t xml:space="preserve"> (UE) 2019/790 du 17 avril 2019 sur le droit d'auteur et les droits voisins dans le marché unique numérique</w:t>
      </w:r>
      <w:r w:rsidR="008F4810">
        <w:rPr>
          <w:b/>
          <w:bCs/>
        </w:rPr>
        <w:t xml:space="preserve">. </w:t>
      </w:r>
    </w:p>
    <w:p w14:paraId="75EFC3F2" w14:textId="77777777" w:rsidR="003830FC" w:rsidRDefault="003830FC" w:rsidP="003830FC">
      <w:pPr>
        <w:spacing w:after="0"/>
        <w:jc w:val="both"/>
      </w:pPr>
    </w:p>
    <w:p w14:paraId="2442BE39" w14:textId="5435D8C0" w:rsidR="003830FC" w:rsidRDefault="0062553B" w:rsidP="003830FC">
      <w:pPr>
        <w:spacing w:after="0"/>
        <w:jc w:val="both"/>
      </w:pPr>
      <w:r>
        <w:t>L’article R. 122-28 du CPI précise en effet</w:t>
      </w:r>
      <w:r w:rsidR="003830FC">
        <w:t xml:space="preserve"> </w:t>
      </w:r>
      <w:r>
        <w:t>que</w:t>
      </w:r>
      <w:r w:rsidR="003830FC">
        <w:t xml:space="preserve"> cette </w:t>
      </w:r>
      <w:r>
        <w:t>opposition « </w:t>
      </w:r>
      <w:r w:rsidRPr="0062553B">
        <w:t>n'a pas à être motivée et peut être exprimée par tout moyen. Dans le cas de contenus mis à la disposition du public en ligne, cette opposition peut notamment être exprimée au moyen de procédés lisibles par machine, y compris des métadonnées, et par le recours à des conditions générales d'utilisation d'un site internet ou d'un service</w:t>
      </w:r>
      <w:r>
        <w:t> »</w:t>
      </w:r>
      <w:r w:rsidRPr="0062553B">
        <w:t>.</w:t>
      </w:r>
    </w:p>
    <w:p w14:paraId="5B0E7A95" w14:textId="77777777" w:rsidR="0062553B" w:rsidRDefault="0062553B" w:rsidP="003830FC">
      <w:pPr>
        <w:spacing w:after="0"/>
        <w:jc w:val="both"/>
      </w:pPr>
    </w:p>
    <w:p w14:paraId="674FFC6A" w14:textId="1AC013F0" w:rsidR="005F4C86" w:rsidRDefault="009A1B5E" w:rsidP="000C648B">
      <w:pPr>
        <w:spacing w:after="0"/>
        <w:ind w:firstLine="708"/>
        <w:jc w:val="both"/>
      </w:pPr>
      <w:r w:rsidRPr="00221907">
        <w:t>Il est rappelé que dans le cadre de ses activités</w:t>
      </w:r>
      <w:r w:rsidR="008F4810" w:rsidRPr="002678E0">
        <w:t xml:space="preserve"> </w:t>
      </w:r>
      <w:r w:rsidR="0062553B" w:rsidRPr="002678E0">
        <w:t xml:space="preserve">la société XXX </w:t>
      </w:r>
      <w:r w:rsidR="00E10298">
        <w:t xml:space="preserve">peut </w:t>
      </w:r>
      <w:r w:rsidR="008F4810" w:rsidRPr="002678E0">
        <w:t>autorise</w:t>
      </w:r>
      <w:r w:rsidR="00E10298">
        <w:t>r</w:t>
      </w:r>
      <w:r w:rsidR="008F4810" w:rsidRPr="002678E0">
        <w:t xml:space="preserve"> </w:t>
      </w:r>
      <w:r w:rsidR="00A30C6E" w:rsidRPr="00221907">
        <w:t xml:space="preserve">ses cocontractants et/ou </w:t>
      </w:r>
      <w:r w:rsidR="00135284" w:rsidRPr="00221907">
        <w:t>les organismes de presse</w:t>
      </w:r>
      <w:r w:rsidR="000C648B">
        <w:t xml:space="preserve"> </w:t>
      </w:r>
      <w:r w:rsidR="008F4810" w:rsidRPr="002678E0">
        <w:t xml:space="preserve">à </w:t>
      </w:r>
      <w:r w:rsidR="00C4591A" w:rsidRPr="00221907">
        <w:t>utiliser</w:t>
      </w:r>
      <w:r w:rsidR="00C4591A" w:rsidRPr="002678E0">
        <w:t xml:space="preserve"> </w:t>
      </w:r>
      <w:r w:rsidRPr="000C648B">
        <w:rPr>
          <w:rFonts w:ascii="Aptos" w:hAnsi="Aptos"/>
        </w:rPr>
        <w:t>l</w:t>
      </w:r>
      <w:r w:rsidR="00C4591A" w:rsidRPr="000C648B">
        <w:rPr>
          <w:rFonts w:ascii="Aptos" w:hAnsi="Aptos"/>
        </w:rPr>
        <w:t>es œuvres audiovisuelles</w:t>
      </w:r>
      <w:r w:rsidR="003473DF" w:rsidRPr="000C648B">
        <w:rPr>
          <w:rFonts w:ascii="Aptos" w:hAnsi="Aptos"/>
        </w:rPr>
        <w:t xml:space="preserve">, </w:t>
      </w:r>
      <w:r w:rsidR="00C4591A" w:rsidRPr="000C648B">
        <w:rPr>
          <w:rFonts w:ascii="Aptos" w:hAnsi="Aptos"/>
        </w:rPr>
        <w:t xml:space="preserve">contenus </w:t>
      </w:r>
      <w:r w:rsidR="00C4591A" w:rsidRPr="000C648B">
        <w:rPr>
          <w:rFonts w:ascii="Aptos" w:hAnsi="Aptos" w:cs="Times New Roman"/>
        </w:rPr>
        <w:t xml:space="preserve">et/ou l’une ou l’autre de leurs composantes protégées par le droit d’auteur </w:t>
      </w:r>
      <w:r w:rsidR="00C4591A" w:rsidRPr="000C648B">
        <w:rPr>
          <w:rFonts w:ascii="Aptos" w:hAnsi="Aptos" w:cs="Times New Roman"/>
          <w:i/>
          <w:iCs/>
        </w:rPr>
        <w:t xml:space="preserve">(texte, graphisme, signes, signaux, sons, images, </w:t>
      </w:r>
      <w:proofErr w:type="spellStart"/>
      <w:r w:rsidR="00C4591A" w:rsidRPr="000C648B">
        <w:rPr>
          <w:rFonts w:ascii="Aptos" w:hAnsi="Aptos" w:cs="Times New Roman"/>
          <w:i/>
          <w:iCs/>
        </w:rPr>
        <w:t>etc</w:t>
      </w:r>
      <w:proofErr w:type="spellEnd"/>
      <w:r w:rsidR="00C4591A" w:rsidRPr="000C648B">
        <w:rPr>
          <w:rFonts w:ascii="Aptos" w:hAnsi="Aptos" w:cs="Times New Roman"/>
          <w:i/>
          <w:iCs/>
        </w:rPr>
        <w:t>)</w:t>
      </w:r>
      <w:r w:rsidR="00C4591A" w:rsidRPr="000C648B">
        <w:rPr>
          <w:rFonts w:ascii="Aptos" w:hAnsi="Aptos" w:cs="Times New Roman"/>
        </w:rPr>
        <w:t xml:space="preserve"> </w:t>
      </w:r>
      <w:r w:rsidRPr="000C648B">
        <w:rPr>
          <w:rFonts w:ascii="Aptos" w:hAnsi="Aptos" w:cs="Times New Roman"/>
        </w:rPr>
        <w:t>présent</w:t>
      </w:r>
      <w:r w:rsidR="0092525C" w:rsidRPr="000C648B">
        <w:rPr>
          <w:rFonts w:ascii="Aptos" w:hAnsi="Aptos" w:cs="Times New Roman"/>
        </w:rPr>
        <w:t>s</w:t>
      </w:r>
      <w:r w:rsidRPr="000C648B">
        <w:rPr>
          <w:rFonts w:ascii="Aptos" w:hAnsi="Aptos" w:cs="Times New Roman"/>
        </w:rPr>
        <w:t xml:space="preserve"> sur le Site</w:t>
      </w:r>
      <w:r w:rsidR="00863823" w:rsidRPr="000C648B">
        <w:rPr>
          <w:rFonts w:ascii="Aptos" w:hAnsi="Aptos" w:cs="Times New Roman"/>
        </w:rPr>
        <w:t xml:space="preserve">, et ce </w:t>
      </w:r>
      <w:r w:rsidR="00C4591A" w:rsidRPr="000C648B">
        <w:rPr>
          <w:rFonts w:ascii="Aptos" w:hAnsi="Aptos"/>
        </w:rPr>
        <w:t>dans la stricte mesure</w:t>
      </w:r>
      <w:r w:rsidR="003473DF" w:rsidRPr="000C648B">
        <w:rPr>
          <w:rFonts w:ascii="Aptos" w:hAnsi="Aptos"/>
        </w:rPr>
        <w:t xml:space="preserve"> </w:t>
      </w:r>
      <w:r w:rsidR="00565749" w:rsidRPr="000C648B">
        <w:rPr>
          <w:rFonts w:ascii="Aptos" w:hAnsi="Aptos"/>
        </w:rPr>
        <w:t xml:space="preserve">nécessaire à la réalisation de </w:t>
      </w:r>
      <w:r w:rsidR="00863823" w:rsidRPr="000C648B">
        <w:rPr>
          <w:rFonts w:ascii="Aptos" w:hAnsi="Aptos"/>
        </w:rPr>
        <w:t>l’</w:t>
      </w:r>
      <w:r w:rsidR="00565749" w:rsidRPr="000C648B">
        <w:rPr>
          <w:rFonts w:ascii="Aptos" w:hAnsi="Aptos"/>
        </w:rPr>
        <w:t xml:space="preserve">exploitation </w:t>
      </w:r>
      <w:r w:rsidR="00863823" w:rsidRPr="000C648B">
        <w:rPr>
          <w:rFonts w:ascii="Aptos" w:hAnsi="Aptos"/>
        </w:rPr>
        <w:t>autorisée ou aux nécessités d’information</w:t>
      </w:r>
      <w:r w:rsidR="00480CD0" w:rsidRPr="000C648B">
        <w:rPr>
          <w:rFonts w:ascii="Aptos" w:hAnsi="Aptos"/>
        </w:rPr>
        <w:t>. Toutefois,</w:t>
      </w:r>
      <w:r w:rsidR="00480CD0" w:rsidRPr="00221907">
        <w:rPr>
          <w:rFonts w:ascii="Aptos" w:hAnsi="Aptos"/>
          <w:b/>
          <w:bCs/>
        </w:rPr>
        <w:t xml:space="preserve"> </w:t>
      </w:r>
      <w:r w:rsidR="008F4810" w:rsidRPr="002678E0">
        <w:t>c</w:t>
      </w:r>
      <w:r w:rsidR="0062553B" w:rsidRPr="002678E0">
        <w:t xml:space="preserve">es autorisations ne permettent pas à </w:t>
      </w:r>
      <w:r w:rsidR="008F4810" w:rsidRPr="002678E0">
        <w:t xml:space="preserve">ces </w:t>
      </w:r>
      <w:r w:rsidR="0019224A" w:rsidRPr="00221907">
        <w:t>cocontractants</w:t>
      </w:r>
      <w:r w:rsidR="00480CD0" w:rsidRPr="00221907">
        <w:t xml:space="preserve"> et/ou organismes de pres</w:t>
      </w:r>
      <w:r w:rsidR="0019224A" w:rsidRPr="00221907">
        <w:t>s</w:t>
      </w:r>
      <w:r w:rsidR="00480CD0" w:rsidRPr="00221907">
        <w:t>e</w:t>
      </w:r>
      <w:r w:rsidR="00480CD0" w:rsidRPr="002678E0">
        <w:t xml:space="preserve"> </w:t>
      </w:r>
      <w:r w:rsidR="005F4C86" w:rsidRPr="002678E0">
        <w:t>de faire des</w:t>
      </w:r>
      <w:r w:rsidR="008F4810" w:rsidRPr="002678E0">
        <w:t xml:space="preserve"> copies ou reproductions numériques de ces œuvres</w:t>
      </w:r>
      <w:r w:rsidR="00480CD0" w:rsidRPr="00221907">
        <w:t xml:space="preserve"> et/contenus et/ou leurs composantes</w:t>
      </w:r>
      <w:r w:rsidR="008F4810" w:rsidRPr="002678E0">
        <w:t xml:space="preserve"> </w:t>
      </w:r>
      <w:r w:rsidR="005F4C86" w:rsidRPr="002678E0">
        <w:t>en vue de la fouille de textes et de données, ni d’autoriser un tiers à le faire</w:t>
      </w:r>
      <w:r w:rsidR="00A63611" w:rsidRPr="002678E0">
        <w:t>, notamment un système d’IA</w:t>
      </w:r>
      <w:r w:rsidR="005F4C86" w:rsidRPr="002678E0">
        <w:t>.</w:t>
      </w:r>
      <w:r w:rsidR="005F4C86">
        <w:t xml:space="preserve"> </w:t>
      </w:r>
    </w:p>
    <w:p w14:paraId="6B72E027" w14:textId="77777777" w:rsidR="005F4C86" w:rsidRDefault="005F4C86" w:rsidP="0062553B">
      <w:pPr>
        <w:spacing w:after="0"/>
        <w:jc w:val="both"/>
      </w:pPr>
    </w:p>
    <w:p w14:paraId="0EE0750E" w14:textId="2145B7B7" w:rsidR="0062553B" w:rsidRPr="00012643" w:rsidRDefault="005F4C86" w:rsidP="005F4C86">
      <w:pPr>
        <w:spacing w:after="0"/>
        <w:jc w:val="both"/>
        <w:rPr>
          <w:b/>
          <w:bCs/>
        </w:rPr>
      </w:pPr>
      <w:r w:rsidRPr="00012643">
        <w:rPr>
          <w:b/>
          <w:bCs/>
        </w:rPr>
        <w:t>En conséquence, t</w:t>
      </w:r>
      <w:r w:rsidR="0062553B" w:rsidRPr="00012643">
        <w:rPr>
          <w:b/>
          <w:bCs/>
        </w:rPr>
        <w:t xml:space="preserve">outes opérations de fouilles de textes et de données par un système d’IA </w:t>
      </w:r>
      <w:r w:rsidR="00506AE2">
        <w:rPr>
          <w:b/>
          <w:bCs/>
        </w:rPr>
        <w:t>utilisant</w:t>
      </w:r>
      <w:r w:rsidR="0062553B" w:rsidRPr="00012643">
        <w:rPr>
          <w:b/>
          <w:bCs/>
        </w:rPr>
        <w:t xml:space="preserve"> les œuvres audiovisuelles</w:t>
      </w:r>
      <w:r w:rsidR="002F1B98">
        <w:rPr>
          <w:b/>
          <w:bCs/>
        </w:rPr>
        <w:t xml:space="preserve">, </w:t>
      </w:r>
      <w:r w:rsidR="0062553B" w:rsidRPr="00012643">
        <w:rPr>
          <w:b/>
          <w:bCs/>
        </w:rPr>
        <w:t xml:space="preserve">les contenus </w:t>
      </w:r>
      <w:r w:rsidR="002F1B98" w:rsidRPr="00221907">
        <w:rPr>
          <w:rFonts w:cs="Times New Roman"/>
          <w:b/>
          <w:bCs/>
        </w:rPr>
        <w:t xml:space="preserve">et/ou de l’une ou l’autre de leurs composantes protégées par le droit d’auteur </w:t>
      </w:r>
      <w:r w:rsidR="008B7CF8" w:rsidRPr="008B7CF8">
        <w:rPr>
          <w:rFonts w:cs="Times New Roman"/>
          <w:b/>
          <w:bCs/>
          <w:i/>
          <w:iCs/>
        </w:rPr>
        <w:t xml:space="preserve">(texte, graphisme, signes, signaux, sons, images, </w:t>
      </w:r>
      <w:proofErr w:type="spellStart"/>
      <w:r w:rsidR="008B7CF8" w:rsidRPr="008B7CF8">
        <w:rPr>
          <w:rFonts w:cs="Times New Roman"/>
          <w:b/>
          <w:bCs/>
          <w:i/>
          <w:iCs/>
        </w:rPr>
        <w:t>etc</w:t>
      </w:r>
      <w:proofErr w:type="spellEnd"/>
      <w:r w:rsidR="008B7CF8" w:rsidRPr="008B7CF8">
        <w:rPr>
          <w:rFonts w:cs="Times New Roman"/>
          <w:b/>
          <w:bCs/>
          <w:i/>
          <w:iCs/>
        </w:rPr>
        <w:t>)</w:t>
      </w:r>
      <w:r w:rsidR="002F1B98" w:rsidRPr="009403FE">
        <w:rPr>
          <w:rFonts w:ascii="Times New Roman" w:hAnsi="Times New Roman" w:cs="Times New Roman"/>
          <w:sz w:val="24"/>
          <w:szCs w:val="24"/>
        </w:rPr>
        <w:t xml:space="preserve"> </w:t>
      </w:r>
      <w:r w:rsidR="002F1B98">
        <w:rPr>
          <w:b/>
          <w:bCs/>
        </w:rPr>
        <w:t xml:space="preserve"> </w:t>
      </w:r>
      <w:r w:rsidRPr="00012643">
        <w:rPr>
          <w:b/>
          <w:bCs/>
        </w:rPr>
        <w:t xml:space="preserve">présentés ou </w:t>
      </w:r>
      <w:r w:rsidR="0062553B" w:rsidRPr="00012643">
        <w:rPr>
          <w:b/>
          <w:bCs/>
        </w:rPr>
        <w:t xml:space="preserve">mis à la disposition du public en ligne sur le présent Site ou </w:t>
      </w:r>
      <w:r w:rsidR="00A63611">
        <w:rPr>
          <w:b/>
          <w:bCs/>
        </w:rPr>
        <w:t>par</w:t>
      </w:r>
      <w:r w:rsidR="0062553B" w:rsidRPr="00012643">
        <w:rPr>
          <w:b/>
          <w:bCs/>
        </w:rPr>
        <w:t xml:space="preserve"> de</w:t>
      </w:r>
      <w:r w:rsidR="00A63611">
        <w:rPr>
          <w:b/>
          <w:bCs/>
        </w:rPr>
        <w:t>s</w:t>
      </w:r>
      <w:r w:rsidR="0062553B" w:rsidRPr="00012643">
        <w:rPr>
          <w:b/>
          <w:bCs/>
        </w:rPr>
        <w:t xml:space="preserve"> tiers</w:t>
      </w:r>
      <w:r w:rsidRPr="00012643">
        <w:rPr>
          <w:b/>
          <w:bCs/>
        </w:rPr>
        <w:t xml:space="preserve">, que cette </w:t>
      </w:r>
      <w:r w:rsidR="0062553B" w:rsidRPr="00012643">
        <w:rPr>
          <w:b/>
          <w:bCs/>
        </w:rPr>
        <w:t xml:space="preserve"> </w:t>
      </w:r>
      <w:r w:rsidRPr="00012643">
        <w:rPr>
          <w:b/>
          <w:bCs/>
        </w:rPr>
        <w:t xml:space="preserve">mise à disposition soit faite </w:t>
      </w:r>
      <w:r w:rsidR="000A1B79" w:rsidRPr="000A1B79">
        <w:rPr>
          <w:b/>
          <w:bCs/>
        </w:rPr>
        <w:t xml:space="preserve">par extraits ou en intégralité, </w:t>
      </w:r>
      <w:r w:rsidR="00506AE2">
        <w:rPr>
          <w:b/>
          <w:bCs/>
        </w:rPr>
        <w:t xml:space="preserve">en accès libre </w:t>
      </w:r>
      <w:r w:rsidRPr="00012643">
        <w:rPr>
          <w:b/>
          <w:bCs/>
        </w:rPr>
        <w:t xml:space="preserve">à titre gratuit ou </w:t>
      </w:r>
      <w:r w:rsidR="00506AE2">
        <w:rPr>
          <w:b/>
          <w:bCs/>
        </w:rPr>
        <w:t xml:space="preserve">à titre </w:t>
      </w:r>
      <w:r w:rsidRPr="00012643">
        <w:rPr>
          <w:b/>
          <w:bCs/>
        </w:rPr>
        <w:t xml:space="preserve">payant, </w:t>
      </w:r>
      <w:r w:rsidR="0062553B" w:rsidRPr="00012643">
        <w:rPr>
          <w:b/>
          <w:bCs/>
        </w:rPr>
        <w:t xml:space="preserve">constituent des actes de contrefaçon, passibles des sanctions prévues aux L. 331-1 et suivants du CPI, sauf obtention d’un accord </w:t>
      </w:r>
      <w:r w:rsidRPr="00012643">
        <w:rPr>
          <w:b/>
          <w:bCs/>
        </w:rPr>
        <w:t xml:space="preserve">préalable </w:t>
      </w:r>
      <w:r w:rsidR="0062553B" w:rsidRPr="00012643">
        <w:rPr>
          <w:b/>
          <w:bCs/>
        </w:rPr>
        <w:t>écrit de la société XXX</w:t>
      </w:r>
      <w:r w:rsidR="00506AE2">
        <w:rPr>
          <w:b/>
          <w:bCs/>
        </w:rPr>
        <w:t xml:space="preserve"> (ou, le cas échéant, de l’organisme de gestion collective auquel la société XXX a expressément confié mandat à cet effet)</w:t>
      </w:r>
      <w:r w:rsidR="0062553B" w:rsidRPr="00012643">
        <w:rPr>
          <w:b/>
          <w:bCs/>
        </w:rPr>
        <w:t>.</w:t>
      </w:r>
    </w:p>
    <w:p w14:paraId="2D6D45BE" w14:textId="77777777" w:rsidR="00012643" w:rsidRDefault="00012643" w:rsidP="005F4C86">
      <w:pPr>
        <w:spacing w:after="0"/>
        <w:jc w:val="both"/>
      </w:pPr>
    </w:p>
    <w:p w14:paraId="1F5C4A27" w14:textId="7EF88385" w:rsidR="00207494" w:rsidRPr="00207494" w:rsidRDefault="00012643" w:rsidP="00207494">
      <w:pPr>
        <w:spacing w:after="0"/>
        <w:jc w:val="both"/>
        <w:rPr>
          <w:b/>
          <w:bCs/>
        </w:rPr>
      </w:pPr>
      <w:r>
        <w:t xml:space="preserve">Pour faciliter la lecture de ce droit d’opposition par </w:t>
      </w:r>
      <w:r w:rsidR="00506AE2">
        <w:t xml:space="preserve">machine ou </w:t>
      </w:r>
      <w:r>
        <w:t xml:space="preserve">tout dispositif de collecte automatisée de données, cette opposition est également exprimée ainsi : </w:t>
      </w:r>
      <w:hyperlink r:id="rId4" w:history="1">
        <w:r w:rsidR="004941F5" w:rsidRPr="004941F5">
          <w:rPr>
            <w:rStyle w:val="Lienhypertexte"/>
            <w:b/>
            <w:bCs/>
          </w:rPr>
          <w:t>&lt; TDM-RESERVATION: 1&gt;</w:t>
        </w:r>
      </w:hyperlink>
      <w:r w:rsidR="004941F5">
        <w:t xml:space="preserve"> ou </w:t>
      </w:r>
      <w:r w:rsidRPr="00012643">
        <w:rPr>
          <w:b/>
          <w:bCs/>
        </w:rPr>
        <w:t>TDM: NO</w:t>
      </w:r>
    </w:p>
    <w:sectPr w:rsidR="00207494" w:rsidRPr="002074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D92"/>
    <w:rsid w:val="00012643"/>
    <w:rsid w:val="000A1B79"/>
    <w:rsid w:val="000C648B"/>
    <w:rsid w:val="00135284"/>
    <w:rsid w:val="00145BC0"/>
    <w:rsid w:val="00171F64"/>
    <w:rsid w:val="00172454"/>
    <w:rsid w:val="00187105"/>
    <w:rsid w:val="0019224A"/>
    <w:rsid w:val="001A0B63"/>
    <w:rsid w:val="001A6B7F"/>
    <w:rsid w:val="001E7A5D"/>
    <w:rsid w:val="001F44A7"/>
    <w:rsid w:val="00207494"/>
    <w:rsid w:val="00221907"/>
    <w:rsid w:val="00231E8D"/>
    <w:rsid w:val="002503AD"/>
    <w:rsid w:val="00252FE7"/>
    <w:rsid w:val="002678E0"/>
    <w:rsid w:val="002D1D39"/>
    <w:rsid w:val="002F1B98"/>
    <w:rsid w:val="00343F75"/>
    <w:rsid w:val="003473DF"/>
    <w:rsid w:val="00350BAB"/>
    <w:rsid w:val="003822E0"/>
    <w:rsid w:val="003830FC"/>
    <w:rsid w:val="003D78D9"/>
    <w:rsid w:val="0043238E"/>
    <w:rsid w:val="00442E74"/>
    <w:rsid w:val="0044502F"/>
    <w:rsid w:val="00480CD0"/>
    <w:rsid w:val="004941F5"/>
    <w:rsid w:val="004D5EAC"/>
    <w:rsid w:val="00506AE2"/>
    <w:rsid w:val="00510FAE"/>
    <w:rsid w:val="00565749"/>
    <w:rsid w:val="00593D92"/>
    <w:rsid w:val="005A2C66"/>
    <w:rsid w:val="005F4C86"/>
    <w:rsid w:val="00602B29"/>
    <w:rsid w:val="0062553B"/>
    <w:rsid w:val="00663874"/>
    <w:rsid w:val="0067584B"/>
    <w:rsid w:val="00694871"/>
    <w:rsid w:val="007860C9"/>
    <w:rsid w:val="007A5413"/>
    <w:rsid w:val="007E6D92"/>
    <w:rsid w:val="00825C70"/>
    <w:rsid w:val="00863823"/>
    <w:rsid w:val="00882478"/>
    <w:rsid w:val="00890C95"/>
    <w:rsid w:val="008B7CF8"/>
    <w:rsid w:val="008F4810"/>
    <w:rsid w:val="0092525C"/>
    <w:rsid w:val="00986ED2"/>
    <w:rsid w:val="009A1B5E"/>
    <w:rsid w:val="00A30C6E"/>
    <w:rsid w:val="00A63611"/>
    <w:rsid w:val="00A97583"/>
    <w:rsid w:val="00AB19F4"/>
    <w:rsid w:val="00AC1758"/>
    <w:rsid w:val="00BA44B7"/>
    <w:rsid w:val="00BB2467"/>
    <w:rsid w:val="00BF0E55"/>
    <w:rsid w:val="00BF21DD"/>
    <w:rsid w:val="00C16F1C"/>
    <w:rsid w:val="00C23248"/>
    <w:rsid w:val="00C4591A"/>
    <w:rsid w:val="00C60C50"/>
    <w:rsid w:val="00C76585"/>
    <w:rsid w:val="00CA1488"/>
    <w:rsid w:val="00CB04E7"/>
    <w:rsid w:val="00CB0F1E"/>
    <w:rsid w:val="00D44218"/>
    <w:rsid w:val="00D46FFD"/>
    <w:rsid w:val="00D5760D"/>
    <w:rsid w:val="00DD190D"/>
    <w:rsid w:val="00DD509F"/>
    <w:rsid w:val="00DD6525"/>
    <w:rsid w:val="00DF623A"/>
    <w:rsid w:val="00E07D5D"/>
    <w:rsid w:val="00E10298"/>
    <w:rsid w:val="00E31FB9"/>
    <w:rsid w:val="00E4230F"/>
    <w:rsid w:val="00E54C8F"/>
    <w:rsid w:val="00E7752E"/>
    <w:rsid w:val="00E91DAB"/>
    <w:rsid w:val="00ED536D"/>
    <w:rsid w:val="00EE2E15"/>
    <w:rsid w:val="00F02B6D"/>
    <w:rsid w:val="00F15692"/>
    <w:rsid w:val="00F36416"/>
    <w:rsid w:val="00F56407"/>
    <w:rsid w:val="00F97EEF"/>
    <w:rsid w:val="00FC0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3DB4D"/>
  <w15:chartTrackingRefBased/>
  <w15:docId w15:val="{F2CB14BA-68FE-4F2B-AC5C-9A7C29C73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E6D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E6D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E6D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E6D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E6D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E6D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E6D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E6D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E6D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E6D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E6D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E6D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E6D92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E6D92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E6D9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E6D9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E6D9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E6D92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E6D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E6D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E6D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E6D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E6D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E6D9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E6D92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E6D92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E6D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E6D92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7E6D92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4941F5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941F5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DD190D"/>
    <w:rPr>
      <w:color w:val="96607D" w:themeColor="followedHyperlink"/>
      <w:u w:val="single"/>
    </w:rPr>
  </w:style>
  <w:style w:type="paragraph" w:styleId="Rvision">
    <w:name w:val="Revision"/>
    <w:hidden/>
    <w:uiPriority w:val="99"/>
    <w:semiHidden/>
    <w:rsid w:val="006948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w3.org/community/reports/tdmrep/CG-FINAL-tdmrep-20240510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520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BM</dc:creator>
  <cp:keywords/>
  <dc:description/>
  <cp:lastModifiedBy>SPI Syndicat des Producteurs Indépendants</cp:lastModifiedBy>
  <cp:revision>4</cp:revision>
  <dcterms:created xsi:type="dcterms:W3CDTF">2024-10-14T10:38:00Z</dcterms:created>
  <dcterms:modified xsi:type="dcterms:W3CDTF">2024-11-04T16:31:00Z</dcterms:modified>
</cp:coreProperties>
</file>